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394683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394683" w:rsidRDefault="00394683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394683">
              <w:rPr>
                <w:rFonts w:ascii="Arial" w:hAnsi="Arial" w:cs="Arial"/>
                <w:b/>
                <w:caps/>
                <w:sz w:val="32"/>
                <w:szCs w:val="72"/>
              </w:rPr>
              <w:t>T02 - AUXILIAR EM SAÚDE BUCAL - 40H</w:t>
            </w:r>
          </w:p>
          <w:p w:rsidR="003B6CAA" w:rsidRPr="007A1C4B" w:rsidRDefault="00A912E6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A1C4B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94683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394683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394683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394683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394683" w:rsidRDefault="00394683" w:rsidP="00394683">
      <w:pPr>
        <w:pStyle w:val="Disciplina"/>
        <w:keepNext/>
        <w:spacing w:before="0"/>
      </w:pPr>
      <w:r>
        <w:lastRenderedPageBreak/>
        <w:t xml:space="preserve">LÍNGUA PORTUGUESA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A912E6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nitidez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escassez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rispidez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394683" w:rsidRPr="00A912E6" w:rsidRDefault="00394683" w:rsidP="0039468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394683" w:rsidRPr="00A912E6" w:rsidRDefault="00394683" w:rsidP="0039468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394683" w:rsidRPr="00A912E6" w:rsidRDefault="00394683" w:rsidP="0039468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394683" w:rsidRPr="00A912E6" w:rsidRDefault="00394683" w:rsidP="00394683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394683" w:rsidRPr="00A912E6" w:rsidRDefault="00394683" w:rsidP="00394683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394683" w:rsidRPr="00A912E6" w:rsidRDefault="00394683" w:rsidP="00394683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394683" w:rsidRPr="00A912E6" w:rsidRDefault="00394683" w:rsidP="00394683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A912E6">
        <w:rPr>
          <w:rFonts w:asciiTheme="minorHAnsi" w:hAnsiTheme="minorHAnsi" w:cstheme="minorHAnsi"/>
          <w:sz w:val="20"/>
          <w:szCs w:val="20"/>
        </w:rPr>
        <w:t> que eu não viajo.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Cem metros é muito.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770B651A" wp14:editId="0B329048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graúna - androide;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ideia </w:t>
      </w:r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A912E6">
        <w:rPr>
          <w:rFonts w:asciiTheme="minorHAnsi" w:hAnsiTheme="minorHAnsi" w:cstheme="minorHAnsi"/>
          <w:sz w:val="20"/>
          <w:szCs w:val="20"/>
        </w:rPr>
        <w:t>heróis;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A912E6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A912E6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394683" w:rsidRPr="00CE36C5" w:rsidRDefault="00394683" w:rsidP="00394683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394683" w:rsidRPr="00952EC0" w:rsidRDefault="00394683" w:rsidP="00394683">
      <w:pPr>
        <w:pStyle w:val="Enunciado"/>
        <w:rPr>
          <w:rFonts w:asciiTheme="minorHAnsi" w:hAnsiTheme="minorHAnsi"/>
          <w:sz w:val="20"/>
          <w:szCs w:val="20"/>
        </w:rPr>
      </w:pPr>
    </w:p>
    <w:p w:rsidR="00394683" w:rsidRDefault="00394683" w:rsidP="00394683">
      <w:pPr>
        <w:pStyle w:val="Disciplina"/>
        <w:keepNext/>
        <w:spacing w:before="0"/>
      </w:pPr>
      <w:r>
        <w:br w:type="column"/>
      </w:r>
      <w:r>
        <w:lastRenderedPageBreak/>
        <w:t xml:space="preserve">CONHECIMENTOS DO SISTEMA ÚNICO DE SAÚDE </w:t>
      </w:r>
      <w:r w:rsidR="00A912E6">
        <w:t xml:space="preserve">(SUS) / </w:t>
      </w:r>
      <w:r>
        <w:t>SAÚDE COLETIVA</w:t>
      </w: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A912E6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A912E6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) </w:t>
      </w:r>
      <w:r w:rsidRPr="00A912E6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A912E6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A912E6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A912E6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A912E6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A912E6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A912E6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A912E6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A912E6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A912E6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A912E6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A912E6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A912E6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A912E6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A912E6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A912E6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A912E6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A912E6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evento sentinela;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vigilância ambiental;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valorização social;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vigilância em saúde.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A912E6" w:rsidRDefault="00A912E6" w:rsidP="00394683">
      <w:pPr>
        <w:pStyle w:val="Disciplina"/>
        <w:keepNext/>
        <w:spacing w:before="0"/>
      </w:pPr>
    </w:p>
    <w:p w:rsidR="00394683" w:rsidRDefault="00A912E6" w:rsidP="00394683">
      <w:pPr>
        <w:pStyle w:val="Disciplina"/>
        <w:keepNext/>
        <w:spacing w:before="0"/>
      </w:pPr>
      <w:r>
        <w:t>CONHECIMENTOS ESPECÍFICOS</w:t>
      </w: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O objetivo geral da Política Nacional de Promoção da Saúde é: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promover a qualidade de vida e reduzir a vulnerabilidade e riscos à saúde relacionados aos seus determinantes e condicionantes;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favorecer a preservação do meio ambiente e a promoção de ambientes mais seguros e saudáveis;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estimular alternativas inovadoras e socialmente exclusivas/contributivas no âmbito das ações de promoção da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estimular a adoção de viver não-violentos e o desenvolvimento de uma cultura de paz no País;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promover o entendimento da concepção ampliada de saúde, entre os trabalhadores de saúde, tanto das atividades-meio, como os da atividade-fim.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27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De acordo com a Política Nacional de Atenção Básica (2017), o principal objetivo da Estratégia da Saúde da Família é: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realizar cirurgias de alta complexidade em âmbito ambulatorial;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fornecer medicamentos de alto custo de forma gratuita para a população;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priorizar o atendimento de casos de emergência;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promover a integralidade da assistência e o cuidado continuado;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restringir o acesso aos serviços de saúde apenas a determinadas faixas etárias.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Segundo a portaria GM/MS nº 635 de 22 de maio de 2023 entende-se como equipe Multiprofissional na Atenção Primária à Saúde – </w:t>
      </w:r>
      <w:proofErr w:type="spellStart"/>
      <w:proofErr w:type="gram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A912E6">
        <w:rPr>
          <w:rFonts w:asciiTheme="minorHAnsi" w:hAnsiTheme="minorHAnsi" w:cstheme="minorHAnsi"/>
          <w:sz w:val="20"/>
          <w:szCs w:val="20"/>
        </w:rPr>
        <w:t>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Primária à Saúde com atenção corresponsável pela população e pelo território;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compostas por profissionais da medicina que atuam de maneira complementar e integrada às demais equipes da Atenção Primária à Saúde com atenção corresponsável pela população e pelo território;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no ambiente eletrônico fazendo a integração da população através de uma busca ativa;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independente e integrada às demais equipes da Atenção Primária à Saúde com atenção corresponsável pela população e pelo território;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equipes compostas por profissionais da saúde de diferentes áreas que atuam de maneira complementar e integrada às demais equipes da Atenção Secundária à Saúde com atenção corresponsável pela população e pelo território.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29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As equipes Multiprofissionais na Atenção Primária à Saúde – </w:t>
      </w:r>
      <w:proofErr w:type="spellStart"/>
      <w:proofErr w:type="gram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podem ser classificadas de acordo com a carga horária da equipe, vinculação e composição profissional. Elas podem ser classificadas em: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Focal;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Ampliada;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Complementar;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Estratégica;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Expandida;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Aplicada;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eMulti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Focal.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Uma das principais características da Política Nacional de Atenção Básica (PNAB) de 2017 é: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redução do número de equipes de saúde da família;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fortalecimento do vínculo entre equipes de saúde e a comunidade;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centralização dos serviços de saúde em hospitais de alta complexidade;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priorização exclusiva do tratamento de doenças agudas;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aumento dos custos para acesso aos serviços de saúde.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É um dos princípios que orientam a Política Nacional de Educação Popular em Saúde: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integralidade;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igualdade;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universalidade;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controle social;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amorosidade.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Política Nacional de Educação Permanente em Saúde tem como objetivo principal: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limitar o acesso à formação continuada dos profissionais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fornecer apenas treinamentos pontuais e específicos para determinadas áreas;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priorizar a educação formal em detrimento da educação permanente;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promover o desenvolvimento contínuo e o aperfeiçoamento dos profissionais de saúde ao longo de suas carreiras;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reduzir a qualificação dos profissionais de saúde.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33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A técnica de escovação na qual são realizados movimentos circulares nas faces livres dos dentes e movimentos anteroposteriores nas faces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oclusais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é chamada de: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Stillman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técnica de Fones;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Bass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Stilman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modificada;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técnica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Branemark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Constitui-se como direito fundamental dos auxiliares em saúde bucal: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executar de forma independente os procedimentos constantes na Lei nº 11.889/2008 e nas Resoluções do Conselho Federal;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recursar-se a exercer a profissão, em âmbito público ou privado, onde as condições de trabalho não sejam dignas, seguras e salubres;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manter regularizadas suas obrigações financeiras junto ao Conselho Regional;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assegurar as condições adequadas para o desempenho ético-profissional da Odontologia, quando investido em função de direção ou responsável técnico;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elaborar e manter atualizados os prontuários na forma das normas em vigor, incluindo os prontuários digitais.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Sobre os documentos odontológicos e de acordo com o Código de Ética Odontológico, é correto afirmar: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permitido comercializar atestados odontológicos, recibos, notas fiscais ou prescrições de especialidades farmacêuticas;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pode-se utilizar formulários de instituições públicas para prescrever, encaminhar ou atestar fatos verificados na clínica privada;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obrigatória a manutenção de forma legível e atualizada de prontuário e a sua conservação em arquivo próprio seja de forma física ou digital;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os profissionais da odontologia podem negar ao paciente acesso a seu prontuário ou deixar de lhe fornecer cópia quando solicitada;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o registro de atos executados no exercício profissional é opcional e só deverá ser feito quando o paciente solicitar essa informação.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36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O ser humano possui duas dentições, uma decídua e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outra permanente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>. A dentição permanente é constituída por: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30 dentes;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34 dentes;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24 dentes;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20 dentes;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(E)</w:t>
      </w:r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="007A1C4B">
        <w:rPr>
          <w:rFonts w:asciiTheme="minorHAnsi" w:hAnsiTheme="minorHAnsi" w:cstheme="minorHAnsi"/>
          <w:sz w:val="20"/>
          <w:szCs w:val="20"/>
        </w:rPr>
        <w:t>32 dentes.</w:t>
      </w:r>
      <w:bookmarkStart w:id="0" w:name="_GoBack"/>
      <w:bookmarkEnd w:id="0"/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função ativa dos dentes é a mastigação. Dentro desse processo cada elemento dentário desempenha uma função específica, sendo: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função dos incisivos é dilacerar o alimento;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função dos pré-molares é cortar o alimento;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função dos caninos é amassar o alimento;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função dos molares é triturar o alimento;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função dos terceiros molares é rasgar o alimento.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O índice CPO-d é uma medida utilizada na Odontologia para avaliar: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saúde periodontal do paciente;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presença de cárie em crianças;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necessidade de tratamento ortodôntico;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estado de tecidos moles da cavidade oral;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experiência de cárie em dentes permanentes.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A912E6">
        <w:rPr>
          <w:rFonts w:asciiTheme="minorHAnsi" w:hAnsiTheme="minorHAnsi" w:cstheme="minorHAnsi"/>
          <w:sz w:val="20"/>
          <w:szCs w:val="20"/>
        </w:rPr>
        <w:t>Se constitui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como uma das diretrizes da Política Nacional de Promoção da Saúde: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evitar mudanças na cultura organizacional, com vistas à adoção de práticas verticais de gestão e estabelecimento de redes de cooperação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fortalecer a participação social como arbitrário na consecução de resultados de promoção da saúde, em especial a igualdade e o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empoderamento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individual e comunitário;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reconhecer na promoção da saúde uma parte fundamental na busca da equidade, da melhoria da qualidade de vida e de saúde;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estimular as ações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intersetoriais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, buscando parcerias que propiciem o desenvolvimento parcial das ações de promoção da saúde;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desincentivar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a pesquisa em promoção da saúde para que não seja avaliada a eficiência e eficácia das ações prestadas. 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Sobre a utilização de flúor tópico, é correto afirmar que: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os géis que contêm flúor são indicados para utilização caseira e, como a pasta de dente, não necessitam de indicação profissional;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de todas as possibilidades de utilização do flúor tópico, o verniz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fluoretado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é o que possui uma menor concentração de flúor e, com isso, é a forma menos eficaz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fluorterapia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as pastas de dente que contêm flúor são a fonte primária de flúor tópico e pode ser utilizado diariamente pelas pessoas;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os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bucais com flúor são recomendados apenas para crianças muito novas e que possuem dificuldade de escovação;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o uso indiscriminado de pasta de dente que contém flúor pode causar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fluorose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nas pessoas acima de 30 anos.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O Auxiliar de Saúde Bucal desempenha um importante papel na odontologia preventiva, ajudando a criar um cuidado do paciente com sua saúde bucal. Sobre a educação em saúde bucal, é correto afirmar: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educação em saúde bucal é uma importante ferramenta para desenvolver a dependência dos sujeitos quanto ao seu cuidado com a sua saúde oral;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para um programa efetivo de prevenção, a educação do paciente deve ser reforçada e repetida periodicamente pelo profissional;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educação em saúde bucal deve ser feita apenas em consultórios e apenas quando o paciente apresenta alta prevalência de cárie dentária;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habilidade do profissional em se comunicar e de se relacionar com o paciente não impacta na capacidade de desenvolvimento de boas práticas pelo paciente;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educação do paciente deve ser feita pelos Auxiliares e Técnicos em Saúde Bucal, devendo o cirurgião-dentista se concentrar nos procedimentos curativos.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São exemplos de dentes da dentição permanente que não possuem antecessores: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dentes 16 e 26;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dentes 11 e 21;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dentes 54 e 64;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dentes 33 e 43;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dentes 14 e 24.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/>
          <w:sz w:val="20"/>
          <w:szCs w:val="20"/>
        </w:rPr>
        <w:t xml:space="preserve">A redução na produção de saliva em algumas glândulas salivares é conhecida como xerostomia e pode provocar: 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lesões em mucosa oral, como a herpes;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desmineralização generalizada, conhecida como erosão dentária;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manchas exógenas nas superfícies dos dentes;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perda da homeostasia oral, favorecendo o desenvolvimento e proliferação de microrganismo patogênicos;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a formação de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sialótitos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 xml:space="preserve"> sublinguais.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Durante o trabalho a 04 mãos, quando se executa procedimentos no arco inferior, o operador destro assume uma posição de trabalho de 12 horas e o Auxiliar deverá assumir: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posição de 03 horas;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posição de 09 horas;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posição de 11 horas;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posição de 10 horas;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posição de 06 horas.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Sobre os grampos utilizados no isolamento absoluto, é correto afirmar: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grampos 206 a 209 são indicados para isolamento que envolva os molares;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desinfecção de todos os grampos deve ser feita, inclusive aqueles que foram apenas testados, mas não utilizados para o isolamento;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os grampos 200 a 205 deverão ser utilizados quando o isolamento for envolver dentes anteriores;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é sempre necessário amarrar fio ou fita dental nos grampos, como medida de segurança para o paciente, evitando assim a deglutição ou aspiração;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os grampos 210 a 2012 são indicados para serem utilizados em pré-molares.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46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As peças de mão são o instrumental mais frequentemente utilizado na Odontologia. Sobre esses instrumentos, é correto afirmar: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micromotor é utilizado para acoplar a peça reta e a alta rotação, possibilitando o uso desse equipamento em várias especialidades odontológicas;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alta rotação funciona a partir da pressão do ar e pode atingir a velocidade de 450.000 rotações por minuto (rpm) e é utilizada para cortar e remover estrutura dentária;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o contra ângulo se encaixa no micromotor e tem sua utilização principal em cirurgias de acerto ósseo;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a peça reta é regularmente utilizada para tratamento endodôntico e profilaxia;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como não entram em contato com o sangue do paciente, nenhuma das peças de mão precisa ser esterilizada, apenas </w:t>
      </w:r>
      <w:proofErr w:type="spellStart"/>
      <w:r w:rsidRPr="00A912E6">
        <w:rPr>
          <w:rFonts w:asciiTheme="minorHAnsi" w:hAnsiTheme="minorHAnsi" w:cstheme="minorHAnsi"/>
          <w:sz w:val="20"/>
          <w:szCs w:val="20"/>
        </w:rPr>
        <w:t>desinfectada</w:t>
      </w:r>
      <w:proofErr w:type="spellEnd"/>
      <w:r w:rsidRPr="00A912E6">
        <w:rPr>
          <w:rFonts w:asciiTheme="minorHAnsi" w:hAnsiTheme="minorHAnsi" w:cstheme="minorHAnsi"/>
          <w:sz w:val="20"/>
          <w:szCs w:val="20"/>
        </w:rPr>
        <w:t>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 xml:space="preserve">Compete ao Auxiliar de Saúde Bucal, sempre </w:t>
      </w:r>
      <w:proofErr w:type="gramStart"/>
      <w:r w:rsidRPr="00A912E6">
        <w:rPr>
          <w:rFonts w:asciiTheme="minorHAnsi" w:hAnsiTheme="minorHAnsi" w:cstheme="minorHAnsi"/>
          <w:sz w:val="20"/>
          <w:szCs w:val="20"/>
        </w:rPr>
        <w:t>sob supervisão</w:t>
      </w:r>
      <w:proofErr w:type="gramEnd"/>
      <w:r w:rsidRPr="00A912E6">
        <w:rPr>
          <w:rFonts w:asciiTheme="minorHAnsi" w:hAnsiTheme="minorHAnsi" w:cstheme="minorHAnsi"/>
          <w:sz w:val="20"/>
          <w:szCs w:val="20"/>
        </w:rPr>
        <w:t xml:space="preserve"> do cirurgião-dentista ou do Técnico em Saúde Bucal: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desenvolver ações de promoção da saúde e prevenção de riscos ambientais e sanitários;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remover suturas;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fazer a remoção do biofilme, de acordo com a indicação técnica definida pelo cirurgião-dentista;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exercer a atividade profissional de forma autônoma;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prestar assistência direta ou indireta ao paciente, sem a indispensável supervisão do cirurgião-dentista.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sequência correta do processamento de filmes radiográficos convencionais deve ser: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fixação - lavagem – revelação – secagem;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revelação – fixação – lavagem final – secagem;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fixação – lavagem – revelação – lavagem final – secagem;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revelação – primeira lavagem – segunda lavagem – fixação;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revelação – lavagem – fixação – lavagem final – secagem.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lastRenderedPageBreak/>
        <w:t>Questão 49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Sobre o processo de esterilização em autoclave do instrumental odontológico é correto afirmar: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nesse tipo de esterilização há eliminação de todas as formas de microrganismos, patogênicos ou não, associando altas temperaturas e vapor saturado sob pressão;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nesse tipo de esterilização há a redução do número de microrganismos através da aplicação de substância antisséptica;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nesse tipo de esterilização há a redução da carga microbiana através da utilização de vapor sem pressão;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nesse tipo de esterilização há a eliminação de todas as formas de microrganismos, patogênicos ou não, através do uso de solução antisséptica; 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nesse tipo de esterilização há uma redução do número de microrganismos através da associação entre altas temperaturas e vapor saturado sob pressão.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394683" w:rsidRPr="00A912E6" w:rsidRDefault="00394683" w:rsidP="00394683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A912E6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394683" w:rsidRPr="00A912E6" w:rsidRDefault="00394683" w:rsidP="00394683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</w:rPr>
        <w:t>A manipulação do Cimento de Ionômero de Vidro deve ser feita:</w:t>
      </w:r>
    </w:p>
    <w:p w:rsidR="00394683" w:rsidRPr="00A912E6" w:rsidRDefault="00394683" w:rsidP="00394683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fosco;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heterogêneo e brilhante;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incorporando o pó no líquido de forma vigorosa, respeitando o tempo recomendado, até que o material apresente um aspecto homogêneo e brilhante;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>incorporando o pó no líquido aos poucos, respeitando o tempo recomendado, até que o material apresente um aspecto homogêneo e brilhante;</w:t>
      </w:r>
    </w:p>
    <w:p w:rsidR="00394683" w:rsidRPr="00A912E6" w:rsidRDefault="00394683" w:rsidP="00394683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A912E6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A912E6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A912E6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A912E6">
        <w:rPr>
          <w:rFonts w:asciiTheme="minorHAnsi" w:hAnsiTheme="minorHAnsi" w:cstheme="minorHAnsi"/>
          <w:sz w:val="20"/>
          <w:szCs w:val="20"/>
        </w:rPr>
        <w:t xml:space="preserve">incorporando o pó no líquido de forma vigorosa, até que ele forme um material semelhante a uma massa de modelagem que não gruda na luva e nem na placa de vidro. </w:t>
      </w:r>
    </w:p>
    <w:p w:rsidR="00394683" w:rsidRPr="00A912E6" w:rsidRDefault="00394683" w:rsidP="00394683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394683" w:rsidRPr="00A912E6" w:rsidSect="0039468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FA" w:rsidRDefault="00D74CFA" w:rsidP="00F24D13">
      <w:pPr>
        <w:spacing w:before="0" w:after="0"/>
      </w:pPr>
      <w:r>
        <w:separator/>
      </w:r>
    </w:p>
  </w:endnote>
  <w:endnote w:type="continuationSeparator" w:id="0">
    <w:p w:rsidR="00D74CFA" w:rsidRDefault="00D74CFA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74CFA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394683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- 40H</w:t>
          </w:r>
        </w:p>
      </w:tc>
      <w:tc>
        <w:tcPr>
          <w:tcW w:w="209" w:type="pct"/>
        </w:tcPr>
        <w:p w:rsidR="00B20B48" w:rsidRPr="00B20B48" w:rsidRDefault="00D74CFA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394683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7A1C4B">
            <w:rPr>
              <w:noProof/>
              <w:sz w:val="16"/>
            </w:rPr>
            <w:t>8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D74CFA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74C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FA" w:rsidRDefault="00D74CFA" w:rsidP="00F24D13">
      <w:pPr>
        <w:spacing w:before="0" w:after="0"/>
      </w:pPr>
      <w:r>
        <w:separator/>
      </w:r>
    </w:p>
  </w:footnote>
  <w:footnote w:type="continuationSeparator" w:id="0">
    <w:p w:rsidR="00D74CFA" w:rsidRDefault="00D74CFA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  <w:p w:rsidR="00394683" w:rsidRDefault="00394683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394683" w:rsidRDefault="00394683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74CFA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394683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D74CFA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74CF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19.55pt;height:24.15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4683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1C4B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12E6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CFA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8ADA6-075D-4AC4-B332-07C2E387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4973</Words>
  <Characters>26858</Characters>
  <Application>Microsoft Office Word</Application>
  <DocSecurity>0</DocSecurity>
  <Lines>223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7</cp:revision>
  <cp:lastPrinted>2024-03-05T23:46:00Z</cp:lastPrinted>
  <dcterms:created xsi:type="dcterms:W3CDTF">2024-03-05T23:42:00Z</dcterms:created>
  <dcterms:modified xsi:type="dcterms:W3CDTF">2024-03-06T01:16:00Z</dcterms:modified>
</cp:coreProperties>
</file>